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8BB244" w14:textId="029125BF" w:rsidR="00AA46FA" w:rsidRDefault="00711714" w:rsidP="00711714">
      <w:pPr>
        <w:pStyle w:val="Pagedecouverture"/>
        <w:rPr>
          <w:noProof/>
        </w:rPr>
      </w:pPr>
      <w:bookmarkStart w:id="0" w:name="LW_BM_COVERPAGE"/>
      <w:r>
        <w:rPr>
          <w:noProof/>
        </w:rPr>
        <w:pict w14:anchorId="73DB08A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166E1B1E-7DAF-439D-98EF-7F422B0057FC" style="width:455.25pt;height:417pt">
            <v:imagedata r:id="rId11" o:title=""/>
          </v:shape>
        </w:pict>
      </w:r>
    </w:p>
    <w:bookmarkEnd w:id="0"/>
    <w:p w14:paraId="7AE0BCA7" w14:textId="77777777" w:rsidR="00AA46FA" w:rsidRDefault="00AA46FA" w:rsidP="00AA46FA">
      <w:pPr>
        <w:rPr>
          <w:noProof/>
        </w:rPr>
        <w:sectPr w:rsidR="00AA46FA" w:rsidSect="00711714">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032C15D" w14:textId="0C8EAA98" w:rsidR="00436947" w:rsidRDefault="00436947" w:rsidP="002079C4">
      <w:pPr>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Identificarea problemei și dimensiunea la nivelul UE</w:t>
      </w:r>
    </w:p>
    <w:p w14:paraId="1DF704EE" w14:textId="051F69CF"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Semiconductorii sunt o tehnologie generică strategică pentru transformarea digitală, competitivitatea industrială, apărarea și securitatea economică ale Uniunii. Raportul Draghi a subliniat necesitatea unor investiții în tehnologii strategice, cum ar fi semiconductorii, pentru competitivitatea UE și a solicitat o strategie cuprinzătoare a UE privind semiconductorii. Evaluarea primului Regulament privind cipurile și analiza problemelor din evaluarea impactului Regulamentului privind cipurile 2.0 demonstrează că, în pofida progreselor semnificative înregistrate prin intermediul primului Regulament privind cipurile, UE se confruntă în continuare cu vulnerabilități structurale de-a lungul lanțului valoric al semiconductorilor. Aceste vulnerabilități decurg din dependența excesivă de un număr limitat de furnizori din țări terțe pentru proiectarea și fabricarea semiconductorilor. Prin urmare, producția din UE reprezintă aproximativ o cincime din consumul său, iar principalele industrii din aval rămân expuse șocurilor externe legate de aprovizionare. În al doilea rând, capacitatea UE de a anticipa, de a monitoriza și de a răspunde la perturbările aprovizionării cu semiconductori rămâne insuficientă, ceea ce duce la o pregătire insuficientă pentru situații de criză. Mecanismele existente din cadrul Regulamentului privind cipurile se bazează pe schimbul voluntar de informații în afara situațiilor de criză și nu au generat profunzimea și actualitatea informațiilor privind lanțul de aprovizionare necesare pentru o pregătire eficace pentru situații de criză.</w:t>
      </w:r>
    </w:p>
    <w:p w14:paraId="0BAD27E5" w14:textId="0627D4C5"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Sectorul semiconductorilor este caracterizat de o intensitate ridicată a capitalului, de investiții pe termen lung, de un risc tehnologic ridicat și de efecte puternice de rețea, ceea ce duce la disfuncționalități structurale ale pieței. Printre acestea se numără investițiile insuficiente în instalațiile de producție, cererea limitată de tehnologii avansate din partea pieței și informațiile insuficiente privind lanțul de aprovizionare pentru a anticipa și a gestiona perturbările. Măsurile naționale fragmentate împiedică eficacitatea intervenției publice.</w:t>
      </w:r>
    </w:p>
    <w:p w14:paraId="7B145191" w14:textId="411A4CDA"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Având în vedere caracterul transfrontalier al lanțurilor de aprovizionare cu semiconductori, perturbările potențiale la nivelul Uniunii și amploarea investițiilor necesare pentru a concura cu principalele programe de sprijin public din țări terțe, problemele au o dimensiune clară la nivelul UE și nu pot fi abordate în mod eficace de către statele membre acționând individual.</w:t>
      </w:r>
    </w:p>
    <w:p w14:paraId="4E3C07B9" w14:textId="23CEC143" w:rsid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Obiectivul inițiativei</w:t>
      </w:r>
    </w:p>
    <w:p w14:paraId="6FB44A85" w14:textId="29032562"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Obiectivul Regulamentului privind cipurile 2.0 este de a spori competitivitatea ecosistemului european pentru a consolida suveranitatea tehnologică și reziliența și pentru a îmbunătăți pregătirea pentru situații de criză în vederea asigurării securității aprovizionării și a securității economice ale UE. Pe baza primului Regulament privind cipurile, inițiativa urmărește să abordeze aceste deficiențe și provocări, cu următoarele obiective:</w:t>
      </w:r>
    </w:p>
    <w:p w14:paraId="729BB52B" w14:textId="66748370" w:rsidR="002079C4" w:rsidRPr="002079C4" w:rsidRDefault="002079C4"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rPr>
      </w:pPr>
      <w:r>
        <w:rPr>
          <w:rFonts w:ascii="Times New Roman" w:hAnsi="Times New Roman"/>
          <w:noProof/>
          <w:sz w:val="24"/>
        </w:rPr>
        <w:t>consolidarea capacității și a securității aprovizionării UE în ceea ce privește semiconductorii de uz general și avansați, inclusiv cipurile de IA;</w:t>
      </w:r>
    </w:p>
    <w:p w14:paraId="5A821F57" w14:textId="1EE35853" w:rsidR="002079C4" w:rsidRPr="002079C4" w:rsidRDefault="00981D7C" w:rsidP="0083530D">
      <w:pPr>
        <w:numPr>
          <w:ilvl w:val="0"/>
          <w:numId w:val="1"/>
        </w:numPr>
        <w:tabs>
          <w:tab w:val="clear" w:pos="360"/>
          <w:tab w:val="num" w:pos="720"/>
        </w:tabs>
        <w:ind w:left="357" w:hanging="357"/>
        <w:contextualSpacing/>
        <w:jc w:val="both"/>
        <w:rPr>
          <w:rFonts w:ascii="Times New Roman" w:hAnsi="Times New Roman" w:cs="Times New Roman"/>
          <w:noProof/>
          <w:sz w:val="24"/>
          <w:szCs w:val="24"/>
        </w:rPr>
      </w:pPr>
      <w:r>
        <w:rPr>
          <w:rFonts w:ascii="Times New Roman" w:hAnsi="Times New Roman"/>
          <w:noProof/>
          <w:sz w:val="24"/>
        </w:rPr>
        <w:t>dezvoltarea unei piețe puternice a utilizatorilor în principalele sectoare industriale;</w:t>
      </w:r>
    </w:p>
    <w:p w14:paraId="456219A5" w14:textId="7EE27EE1" w:rsidR="00E75343" w:rsidRPr="00E9417E" w:rsidDel="00614FC0" w:rsidRDefault="00981D7C" w:rsidP="00E9417E">
      <w:pPr>
        <w:numPr>
          <w:ilvl w:val="0"/>
          <w:numId w:val="1"/>
        </w:numPr>
        <w:ind w:left="357" w:hanging="357"/>
        <w:contextualSpacing/>
        <w:jc w:val="both"/>
        <w:rPr>
          <w:rFonts w:ascii="Times New Roman" w:hAnsi="Times New Roman" w:cs="Times New Roman"/>
          <w:noProof/>
          <w:sz w:val="24"/>
          <w:szCs w:val="24"/>
        </w:rPr>
      </w:pPr>
      <w:r>
        <w:rPr>
          <w:rFonts w:ascii="Times New Roman" w:hAnsi="Times New Roman"/>
          <w:noProof/>
          <w:sz w:val="24"/>
        </w:rPr>
        <w:t>sporirea capabilităților de obținere de informații operative pentru pregătirea pentru situații de criză și răspunsul în astfel de situații.</w:t>
      </w:r>
    </w:p>
    <w:p w14:paraId="430397C7" w14:textId="73DF396E" w:rsidR="00436947" w:rsidRDefault="00436947" w:rsidP="0083530D">
      <w:pPr>
        <w:spacing w:before="360"/>
        <w:jc w:val="both"/>
        <w:rPr>
          <w:rFonts w:ascii="Times New Roman" w:hAnsi="Times New Roman" w:cs="Times New Roman"/>
          <w:b/>
          <w:bCs/>
          <w:noProof/>
          <w:sz w:val="24"/>
          <w:szCs w:val="24"/>
        </w:rPr>
      </w:pPr>
      <w:r>
        <w:rPr>
          <w:rFonts w:ascii="Times New Roman" w:hAnsi="Times New Roman"/>
          <w:b/>
          <w:noProof/>
          <w:sz w:val="24"/>
        </w:rPr>
        <w:lastRenderedPageBreak/>
        <w:t>Opțiunile evaluate și opțiunea preferată</w:t>
      </w:r>
    </w:p>
    <w:p w14:paraId="555CC835" w14:textId="7B11F7B9"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Evaluarea impactului evaluează un scenariu de referință și opțiuni de politică din ce în ce mai ambițioase, care reflectă diferite grade de intervenție a UE. Opțiunile variază de la măsuri axate pe îmbunătățirea condițiilor-cadru la o abordare mai cuprinzătoare și mai strategică.</w:t>
      </w:r>
    </w:p>
    <w:p w14:paraId="6379805A" w14:textId="5F642982"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Opțiunea preferată („</w:t>
      </w:r>
      <w:r>
        <w:rPr>
          <w:rFonts w:ascii="Times New Roman" w:hAnsi="Times New Roman"/>
          <w:i/>
          <w:noProof/>
          <w:sz w:val="24"/>
        </w:rPr>
        <w:t>suveranitatea strategică</w:t>
      </w:r>
      <w:r>
        <w:rPr>
          <w:rFonts w:ascii="Times New Roman" w:hAnsi="Times New Roman"/>
          <w:noProof/>
          <w:sz w:val="24"/>
        </w:rPr>
        <w:t xml:space="preserve">”) ar urma să consolideze actualul Regulament privind cipurile prin combinarea unor instrumente mai specifice, atât orizontale, cât și verticale. Printre măsurile orizontale se numără creșterea sprijinului pentru cercetare, dezvoltare și inovare, clarificarea cadrului de pionierat, accelerarea procesului de autorizare, măsuri de creștere a atractivității regiunilor semiconductorilor prin intermediul unei etichete de regiuni de excelență în domeniul semiconductorilor, crearea unei platforme B2B pentru a spori transparența și reziliența, solicitări de informații în afara stadiilor de criză și creșterea investițiilor în competențe. Alte măsuri de natură verticală includ proiectele strategice și măsurile axate pe cerere la nivelul UE, cum ar fi achizițiile publice în domeniul inovării, programele de accelerare a trecerii de la stadiul de laborator la stadiul de fabricare și stimularea utilizării cipurilor produse pe plan intern sau a cipurilor echivalente în domeniul achizițiilor publice. </w:t>
      </w:r>
    </w:p>
    <w:p w14:paraId="26CA4A86" w14:textId="2155FCF9" w:rsidR="002079C4" w:rsidRPr="00842D34" w:rsidRDefault="002079C4" w:rsidP="002079C4">
      <w:pPr>
        <w:jc w:val="both"/>
        <w:rPr>
          <w:rFonts w:ascii="Times New Roman" w:hAnsi="Times New Roman" w:cs="Times New Roman"/>
          <w:noProof/>
          <w:sz w:val="24"/>
          <w:szCs w:val="24"/>
        </w:rPr>
      </w:pPr>
      <w:r>
        <w:rPr>
          <w:rFonts w:ascii="Times New Roman" w:hAnsi="Times New Roman"/>
          <w:noProof/>
          <w:sz w:val="24"/>
        </w:rPr>
        <w:t>Această opțiune oferă cel mai eficace și proporțional răspuns la problemele identificate, respectând în același timp subsidiaritatea și reducând la minimum sarcina administrativă. Aceasta răspunde constatărilor evaluării care solicită o integrare mai puternică între cercetare și inovare și activitățile de implementare industrială, căi mai rapide de industrializare și mecanisme mai eficace de obținere de informații operative privind lanțul de aprovizionare.</w:t>
      </w:r>
    </w:p>
    <w:p w14:paraId="21EBFCA1" w14:textId="745EAADE" w:rsid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Sprijinul părților interesate</w:t>
      </w:r>
    </w:p>
    <w:p w14:paraId="6F80CB0F" w14:textId="1182D65D"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Consultările indică un sprijin larg pentru o abordare consolidată la nivelul UE. Părțile interesate din toate grupurile consideră că Regulamentul privind cipurile reprezintă un răspuns oportun și necesar, deși consolidarea sa rămâne necesară. Producătorii de semiconductori, furnizorii de echipamente și materiale și întreprinderile de proiectare fabless sprijină o coordonare mai strânsă și un acces îmbunătățit la infrastructurile comune. IMM-urile, start-upurile și întreprinderile în curs de extindere subliniază importanța măsurilor axate pe cerere.</w:t>
      </w:r>
    </w:p>
    <w:p w14:paraId="10556F77" w14:textId="6366756A"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Feedbackul statelor membre sprijină consolidarea coordonării și subliniază necesitatea îmbunătățirii securității lanțului de aprovizionare și a pregătirii pentru situații de criză. Părțile interesate subliniază, de asemenea, necesitatea unei strategii clare a UE pentru menținerea deschiderii la nivelul cooperării internaționale.</w:t>
      </w:r>
    </w:p>
    <w:p w14:paraId="7017D475" w14:textId="7546980A" w:rsid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Beneficiile și costurile opțiunii preferate</w:t>
      </w:r>
    </w:p>
    <w:p w14:paraId="64341E2E" w14:textId="0892C09B"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Se preconizează că opțiunea preferată va genera beneficii economice, tehnologice și strategice în raport cu scenariul de referință, în special prin punerea la dispoziție a instrumentelor necesare pentru a investi în ecosistemul de fabricare și de proiectare a semiconductorilor avansați și de încapsulare în Europa, precum și pentru a continua investițiile în semiconductori inovatori de uz general. Printre acestea se numără o mai mare mobilizare a investițiilor private, reducerea investițiilor publice și a riscului de utilizare pentru instalațiile avansate, accelerarea căilor de inovare către piață, consolidarea producției și proiectării la nivelul UE, precum și îmbunătățirea rezilienței lanțurilor de aprovizionare. Evaluarea confirmă faptul că investițiile în temeiul Regulamentului privind cipurile au mobilizat capital privat substanțial și au îmbunătățit atractivitatea UE ca destinație de investiții.</w:t>
      </w:r>
    </w:p>
    <w:p w14:paraId="783AAA94" w14:textId="00F3B967" w:rsidR="002079C4" w:rsidRDefault="002079C4" w:rsidP="002079C4">
      <w:pPr>
        <w:jc w:val="both"/>
        <w:rPr>
          <w:rFonts w:ascii="Times New Roman" w:hAnsi="Times New Roman" w:cs="Times New Roman"/>
          <w:noProof/>
          <w:sz w:val="24"/>
          <w:szCs w:val="24"/>
        </w:rPr>
      </w:pPr>
      <w:r>
        <w:rPr>
          <w:rFonts w:ascii="Times New Roman" w:hAnsi="Times New Roman"/>
          <w:noProof/>
          <w:sz w:val="24"/>
        </w:rPr>
        <w:t>Costurile publice vizează în primul rând creșterea angajamentelor de finanțare ale UE și naționale pentru proiectele strategice, sprijinul pentru cercetare, dezvoltare și inovare și structurile de guvernanță. Costurile din sectorul privat decurg în principal din cerințele de participare și din obligațiile privind schimbul de informații, care sunt concepute astfel încât să fie proporționale și să scutească în mare măsură IMM-urile. În ansamblu, beneficiile preconizate în ceea ce privește competitivitatea, reziliența și securitatea aprovizionării depășesc costurile pe termen mediu și lung.</w:t>
      </w:r>
    </w:p>
    <w:p w14:paraId="2FA2ED7E" w14:textId="75FA7610" w:rsid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Impactul asupra IMM-urilor și a competitivității</w:t>
      </w:r>
    </w:p>
    <w:p w14:paraId="79F516FC" w14:textId="4039F22E"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Se preconizează că opțiunea preferată va avea un impact pozitiv asupra IMM-urilor, deoarece industria semiconductorilor se bazează pe o rețea de IMM-uri foarte specializate de-a lungul lanțului valoric. Intensificarea cooperării în domeniul cercetării, al dezvoltării și al inovării, proiectele strategice, achizițiile publice în domeniul inovării și stimulentele pentru achiziționarea de cipuri produse pe plan intern creează cerere, în special în beneficiul IMM</w:t>
      </w:r>
      <w:r w:rsidR="002E4FD1">
        <w:rPr>
          <w:rFonts w:ascii="Times New Roman" w:hAnsi="Times New Roman"/>
          <w:noProof/>
          <w:sz w:val="24"/>
        </w:rPr>
        <w:t>­</w:t>
      </w:r>
      <w:r>
        <w:rPr>
          <w:rFonts w:ascii="Times New Roman" w:hAnsi="Times New Roman"/>
          <w:noProof/>
          <w:sz w:val="24"/>
        </w:rPr>
        <w:t xml:space="preserve">urilor de design fabless. </w:t>
      </w:r>
    </w:p>
    <w:p w14:paraId="748CD2B9" w14:textId="1BA85FB2"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Din perspectiva competitivității, Regulamentul privind cipurile 2.0 consolidează lanțul valoric al semiconductorilor din UE. Prin reducerea dependențelor și promovarea extinderii industriale, inițiativa sporește capacitatea UE de a concura, sprijinind în același timp competitivitatea în aval. Evaluarea confirmă faptul că intervenția UE rămâne esențială pentru ca IMM-urile să concureze într-un sector globalizat și cu utilizare intensivă a capitalului.</w:t>
      </w:r>
    </w:p>
    <w:p w14:paraId="58EAAA36" w14:textId="2490290B" w:rsid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Alte efecte semnificative</w:t>
      </w:r>
    </w:p>
    <w:p w14:paraId="12B74A41" w14:textId="185837B7" w:rsidR="002079C4" w:rsidRPr="002079C4" w:rsidRDefault="002079C4" w:rsidP="002079C4">
      <w:pPr>
        <w:jc w:val="both"/>
        <w:rPr>
          <w:rFonts w:ascii="Times New Roman" w:hAnsi="Times New Roman" w:cs="Times New Roman"/>
          <w:noProof/>
          <w:sz w:val="24"/>
          <w:szCs w:val="24"/>
        </w:rPr>
      </w:pPr>
      <w:r>
        <w:rPr>
          <w:rFonts w:ascii="Times New Roman" w:hAnsi="Times New Roman"/>
          <w:noProof/>
          <w:sz w:val="24"/>
        </w:rPr>
        <w:t>Impactul asupra mediului este legat de creșterea capacității de producție și a utilizării resurselor. Inițiativa sprijină implementarea unor tehnologii eficiente din punct de vedere energetic și a unor procese de fabricație durabile, contribuind la obiectivele UE în materie de climă și durabilitate.</w:t>
      </w:r>
    </w:p>
    <w:p w14:paraId="28442E9D" w14:textId="546F1C5C" w:rsidR="002079C4" w:rsidRDefault="002079C4" w:rsidP="002079C4">
      <w:pPr>
        <w:jc w:val="both"/>
        <w:rPr>
          <w:rFonts w:ascii="Times New Roman" w:hAnsi="Times New Roman" w:cs="Times New Roman"/>
          <w:noProof/>
          <w:sz w:val="24"/>
          <w:szCs w:val="24"/>
        </w:rPr>
      </w:pPr>
      <w:r>
        <w:rPr>
          <w:rFonts w:ascii="Times New Roman" w:hAnsi="Times New Roman"/>
          <w:noProof/>
          <w:sz w:val="24"/>
        </w:rPr>
        <w:t>Impactul social include crearea de locuri de muncă de înaltă calificare, consolidarea ecosistemelor regionale de inovare și creșterea cererii de competențe avansate. Securitatea sporită a aprovizionării aduce beneficii sectoarelor critice, cum ar fi industria auto, automatizarea industrială, telecomunicațiile, sectorul sănătății, industria aerospațială, securitatea, sectorul apărării și infrastructura de IA, contribuind la reziliența societală a UE.</w:t>
      </w:r>
    </w:p>
    <w:p w14:paraId="27EAE62B" w14:textId="2D34F4F6" w:rsidR="00CF2CC8" w:rsidRDefault="00CF2CC8" w:rsidP="002079C4">
      <w:pPr>
        <w:jc w:val="both"/>
        <w:rPr>
          <w:rFonts w:ascii="Times New Roman" w:hAnsi="Times New Roman" w:cs="Times New Roman"/>
          <w:noProof/>
          <w:sz w:val="24"/>
          <w:szCs w:val="24"/>
        </w:rPr>
      </w:pPr>
      <w:r>
        <w:rPr>
          <w:rFonts w:ascii="Times New Roman" w:hAnsi="Times New Roman"/>
          <w:noProof/>
          <w:sz w:val="24"/>
        </w:rPr>
        <w:t>Regulamentul privind cipurile 2.0 include măsuri de simplificare menite să reducă sarcina administrativă, să sporească previzibilitatea și să accelereze punerea în aplicare. Părțile interesate și constatările evaluării au evidențiat complexitatea procedurală, termenele lungi și sarcina administrativă ca fiind constrângeri majore asupra eficacității și competitivității. Printre acestea se numără proceduri de autorizare limitate în timp pentru instalațiile de producție, o mai mare securitate juridică în ceea ce privește domeniul de aplicare și proceduri mai bine aliniate pentru desemnarea proiectelor de pionierat și a proiectelor strategice.</w:t>
      </w:r>
    </w:p>
    <w:p w14:paraId="717165F6" w14:textId="63A65416" w:rsidR="00436947" w:rsidRPr="00436947" w:rsidRDefault="00436947" w:rsidP="002079C4">
      <w:pPr>
        <w:jc w:val="both"/>
        <w:rPr>
          <w:rFonts w:ascii="Times New Roman" w:hAnsi="Times New Roman" w:cs="Times New Roman"/>
          <w:b/>
          <w:bCs/>
          <w:noProof/>
          <w:sz w:val="24"/>
          <w:szCs w:val="24"/>
        </w:rPr>
      </w:pPr>
      <w:r>
        <w:rPr>
          <w:rFonts w:ascii="Times New Roman" w:hAnsi="Times New Roman"/>
          <w:b/>
          <w:noProof/>
          <w:sz w:val="24"/>
        </w:rPr>
        <w:t>Acțiuni ulterioare</w:t>
      </w:r>
    </w:p>
    <w:p w14:paraId="093163D9" w14:textId="6558C25F" w:rsidR="00F31280" w:rsidRPr="00931F4E" w:rsidRDefault="002079C4" w:rsidP="00931F4E">
      <w:pPr>
        <w:jc w:val="both"/>
        <w:rPr>
          <w:rFonts w:ascii="Times New Roman" w:hAnsi="Times New Roman" w:cs="Times New Roman"/>
          <w:noProof/>
          <w:sz w:val="24"/>
          <w:szCs w:val="24"/>
        </w:rPr>
      </w:pPr>
      <w:r>
        <w:rPr>
          <w:rFonts w:ascii="Times New Roman" w:hAnsi="Times New Roman"/>
          <w:noProof/>
          <w:sz w:val="24"/>
        </w:rPr>
        <w:t>Comisia ar trebui să efectueze o evaluare în termen de patru până la șase ani de la data aplicării inițiativei. Dacă este necesar, evaluarea ar trebui să fie însoțită de propuneri de adaptare sau de consolidare a cadrului, având în vedere noile evoluții tehnologice și geopolitice.</w:t>
      </w:r>
    </w:p>
    <w:sectPr w:rsidR="00F31280" w:rsidRPr="00931F4E" w:rsidSect="00AA46FA">
      <w:headerReference w:type="even" r:id="rId18"/>
      <w:headerReference w:type="default" r:id="rId19"/>
      <w:footerReference w:type="even" r:id="rId20"/>
      <w:footerReference w:type="default" r:id="rId21"/>
      <w:headerReference w:type="first" r:id="rId22"/>
      <w:footerReference w:type="first" r:id="rId23"/>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9A9491" w14:textId="77777777" w:rsidR="00AD4BAF" w:rsidRDefault="00AD4BAF" w:rsidP="0026613F">
      <w:pPr>
        <w:spacing w:after="0" w:line="240" w:lineRule="auto"/>
      </w:pPr>
      <w:r>
        <w:separator/>
      </w:r>
    </w:p>
  </w:endnote>
  <w:endnote w:type="continuationSeparator" w:id="0">
    <w:p w14:paraId="74457FEC" w14:textId="77777777" w:rsidR="00AD4BAF" w:rsidRDefault="00AD4BAF" w:rsidP="0026613F">
      <w:pPr>
        <w:spacing w:after="0" w:line="240" w:lineRule="auto"/>
      </w:pPr>
      <w:r>
        <w:continuationSeparator/>
      </w:r>
    </w:p>
  </w:endnote>
  <w:endnote w:type="continuationNotice" w:id="1">
    <w:p w14:paraId="00B3EDAB" w14:textId="77777777" w:rsidR="00AD4BAF" w:rsidRDefault="00AD4BA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FF96DC" w14:textId="36D306C2" w:rsidR="00711714" w:rsidRPr="00711714" w:rsidRDefault="00711714" w:rsidP="00711714">
    <w:pPr>
      <w:pStyle w:val="FooterCoverPage"/>
      <w:rPr>
        <w:rFonts w:ascii="Arial" w:hAnsi="Arial" w:cs="Arial"/>
        <w:b/>
        <w:sz w:val="48"/>
      </w:rPr>
    </w:pPr>
    <w:r w:rsidRPr="00711714">
      <w:rPr>
        <w:rFonts w:ascii="Arial" w:hAnsi="Arial" w:cs="Arial"/>
        <w:b/>
        <w:sz w:val="48"/>
      </w:rPr>
      <w:t>RO</w:t>
    </w:r>
    <w:r w:rsidRPr="00711714">
      <w:rPr>
        <w:rFonts w:ascii="Arial" w:hAnsi="Arial" w:cs="Arial"/>
        <w:b/>
        <w:sz w:val="48"/>
      </w:rPr>
      <w:tab/>
    </w:r>
    <w:r w:rsidRPr="00711714">
      <w:rPr>
        <w:rFonts w:ascii="Arial" w:hAnsi="Arial" w:cs="Arial"/>
        <w:b/>
        <w:sz w:val="48"/>
      </w:rPr>
      <w:tab/>
    </w:r>
    <w:r w:rsidRPr="00711714">
      <w:tab/>
    </w:r>
    <w:r w:rsidRPr="00711714">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FF7B4D" w14:textId="7475B23D" w:rsidR="00711714" w:rsidRPr="00711714" w:rsidRDefault="00711714" w:rsidP="00711714">
    <w:pPr>
      <w:pStyle w:val="FooterCoverPage"/>
      <w:rPr>
        <w:rFonts w:ascii="Arial" w:hAnsi="Arial" w:cs="Arial"/>
        <w:b/>
        <w:sz w:val="48"/>
      </w:rPr>
    </w:pPr>
    <w:r w:rsidRPr="00711714">
      <w:rPr>
        <w:rFonts w:ascii="Arial" w:hAnsi="Arial" w:cs="Arial"/>
        <w:b/>
        <w:sz w:val="48"/>
      </w:rPr>
      <w:t>RO</w:t>
    </w:r>
    <w:r w:rsidRPr="00711714">
      <w:rPr>
        <w:rFonts w:ascii="Arial" w:hAnsi="Arial" w:cs="Arial"/>
        <w:b/>
        <w:sz w:val="48"/>
      </w:rPr>
      <w:tab/>
    </w:r>
    <w:r w:rsidRPr="00711714">
      <w:rPr>
        <w:rFonts w:ascii="Arial" w:hAnsi="Arial" w:cs="Arial"/>
        <w:b/>
        <w:sz w:val="48"/>
      </w:rPr>
      <w:tab/>
    </w:r>
    <w:r w:rsidRPr="00711714">
      <w:tab/>
    </w:r>
    <w:r w:rsidRPr="00711714">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7D0A1" w14:textId="77777777" w:rsidR="00711714" w:rsidRPr="00711714" w:rsidRDefault="00711714" w:rsidP="0071171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95B667" w14:textId="77777777" w:rsidR="00AA46FA" w:rsidRDefault="00AA46F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2067800166"/>
      <w:docPartObj>
        <w:docPartGallery w:val="Page Numbers (Bottom of Page)"/>
        <w:docPartUnique/>
      </w:docPartObj>
    </w:sdtPr>
    <w:sdtEndPr>
      <w:rPr>
        <w:noProof/>
      </w:rPr>
    </w:sdtEndPr>
    <w:sdtContent>
      <w:p w14:paraId="48A985B1" w14:textId="08F2FB5E" w:rsidR="00AA46FA" w:rsidRPr="00931F4E" w:rsidRDefault="00AA46FA">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711714">
          <w:rPr>
            <w:rFonts w:ascii="Times New Roman" w:hAnsi="Times New Roman" w:cs="Times New Roman"/>
            <w:noProof/>
          </w:rPr>
          <w:t>4</w:t>
        </w:r>
        <w:r>
          <w:rPr>
            <w:rFonts w:ascii="Times New Roman" w:hAnsi="Times New Roman" w:cs="Times New Roman"/>
          </w:rPr>
          <w:fldChar w:fldCharType="end"/>
        </w:r>
      </w:p>
    </w:sdtContent>
  </w:sdt>
  <w:p w14:paraId="2A7ABD21" w14:textId="77777777" w:rsidR="00AA46FA" w:rsidRPr="00931F4E" w:rsidRDefault="00AA46FA">
    <w:pPr>
      <w:pStyle w:val="Footer"/>
      <w:rPr>
        <w:rFonts w:ascii="Times New Roman" w:hAnsi="Times New Roman" w:cs="Times New Roman"/>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7445F" w14:textId="77777777" w:rsidR="00AA46FA" w:rsidRDefault="00AA46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9DE71B" w14:textId="77777777" w:rsidR="00AD4BAF" w:rsidRDefault="00AD4BAF" w:rsidP="0026613F">
      <w:pPr>
        <w:spacing w:after="0" w:line="240" w:lineRule="auto"/>
      </w:pPr>
      <w:r>
        <w:separator/>
      </w:r>
    </w:p>
  </w:footnote>
  <w:footnote w:type="continuationSeparator" w:id="0">
    <w:p w14:paraId="1950FE8F" w14:textId="77777777" w:rsidR="00AD4BAF" w:rsidRDefault="00AD4BAF" w:rsidP="0026613F">
      <w:pPr>
        <w:spacing w:after="0" w:line="240" w:lineRule="auto"/>
      </w:pPr>
      <w:r>
        <w:continuationSeparator/>
      </w:r>
    </w:p>
  </w:footnote>
  <w:footnote w:type="continuationNotice" w:id="1">
    <w:p w14:paraId="39B9A1E7" w14:textId="77777777" w:rsidR="00AD4BAF" w:rsidRDefault="00AD4BA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53C18" w14:textId="77777777" w:rsidR="00711714" w:rsidRPr="00711714" w:rsidRDefault="00711714" w:rsidP="0071171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8040" w14:textId="77777777" w:rsidR="00711714" w:rsidRPr="00711714" w:rsidRDefault="00711714" w:rsidP="0071171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4F8A3A" w14:textId="77777777" w:rsidR="00711714" w:rsidRPr="00711714" w:rsidRDefault="00711714" w:rsidP="0071171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B48872" w14:textId="77777777" w:rsidR="00AA46FA" w:rsidRDefault="00AA46F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87956" w14:textId="77777777" w:rsidR="00AA46FA" w:rsidRDefault="00AA4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2ED0CA" w14:textId="77777777" w:rsidR="00AA46FA" w:rsidRDefault="00AA46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F5356C"/>
    <w:multiLevelType w:val="multilevel"/>
    <w:tmpl w:val="3BA6D70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 w15:restartNumberingAfterBreak="0">
    <w:nsid w:val="47497A18"/>
    <w:multiLevelType w:val="multilevel"/>
    <w:tmpl w:val="811EE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ACCOMPAGNANT.CP" w:val="care înso\u355?e\u351?te documentul"/>
    <w:docVar w:name="LW_CORRIGENDUM" w:val="&lt;UNUSED&gt;"/>
    <w:docVar w:name="LW_COVERPAGE_EXISTS" w:val="True"/>
    <w:docVar w:name="LW_COVERPAGE_GUID" w:val="166E1B1E-7DAF-439D-98EF-7F422B0057FC"/>
    <w:docVar w:name="LW_COVERPAGE_TYPE" w:val="1"/>
    <w:docVar w:name="LW_CROSSREFERENCE" w:val="{COM(2026) 504 final} - {SEC(2026) 504 final} - {SWD(2026) 504 final}"/>
    <w:docVar w:name="LW_DocType" w:val="NORMAL"/>
    <w:docVar w:name="LW_EMISSION" w:val="3.6.2026"/>
    <w:docVar w:name="LW_EMISSION_ISODATE" w:val="2026-06-03"/>
    <w:docVar w:name="LW_EMISSION_LOCATION" w:val="BRX"/>
    <w:docVar w:name="LW_EMISSION_PREFIX" w:val="Bruxelles, "/>
    <w:docVar w:name="LW_EMISSION_SUFFIX" w:val=" "/>
    <w:docVar w:name="LW_ID_DOCTYPE_NONLW" w:val="CP-027"/>
    <w:docVar w:name="LW_LANGUE" w:val="RO"/>
    <w:docVar w:name="LW_LEVEL_OF_SENSITIVITY" w:val="Standard treatment"/>
    <w:docVar w:name="LW_NOM.INST" w:val="COMISIA EUROPEAN\u258?"/>
    <w:docVar w:name="LW_NOM.INST_JOINTDOC" w:val="&lt;EMPTY&gt;"/>
    <w:docVar w:name="LW_OBJETACTEPRINCIPAL.CP" w:val="_x000d__x000d__x000b_privind un cadru de m\u259?suri pentru consolidarea ecosistemului semiconductorilor din Uniune \u537?i de abrogare a Regulamentului (UE) 2023/1781 (Regulamentul privind cipurile 2.0)_x000d__x000d__x000d__x000d__x000b_"/>
    <w:docVar w:name="LW_PART_NBR" w:val="1"/>
    <w:docVar w:name="LW_PART_NBR_TOTAL" w:val="1"/>
    <w:docVar w:name="LW_REF.INST.NEW" w:val="SWD"/>
    <w:docVar w:name="LW_REF.INST.NEW_ADOPTED" w:val="final"/>
    <w:docVar w:name="LW_REF.INST.NEW_TEXT" w:val="(2026) 50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DOCUMENT DE LUCRU AL SERVICIILOR COMISIEI_x000b__x000b_REZUMAT AL RAPORTULUI PRIVIND EVALUAREA IMPACTULUI_x000b_"/>
    <w:docVar w:name="LW_TYPEACTEPRINCIPAL.CP" w:val="Propunere de regulament al Parlamentului European \u537?i al Consiliului"/>
    <w:docVar w:name="LwApiVersions" w:val="LW4CoDe 1.24.5.0; LW 9.2, Build 20251112"/>
  </w:docVars>
  <w:rsids>
    <w:rsidRoot w:val="0026613F"/>
    <w:rsid w:val="000079B2"/>
    <w:rsid w:val="0002422D"/>
    <w:rsid w:val="000346A0"/>
    <w:rsid w:val="000379F0"/>
    <w:rsid w:val="000434FC"/>
    <w:rsid w:val="00044B3F"/>
    <w:rsid w:val="00044E84"/>
    <w:rsid w:val="000579B0"/>
    <w:rsid w:val="00060BD0"/>
    <w:rsid w:val="00062EEB"/>
    <w:rsid w:val="000664D1"/>
    <w:rsid w:val="000704D1"/>
    <w:rsid w:val="000774A3"/>
    <w:rsid w:val="00092390"/>
    <w:rsid w:val="000A6E69"/>
    <w:rsid w:val="000C2D1F"/>
    <w:rsid w:val="000D2DAD"/>
    <w:rsid w:val="000F1260"/>
    <w:rsid w:val="00104B47"/>
    <w:rsid w:val="0011229E"/>
    <w:rsid w:val="001200ED"/>
    <w:rsid w:val="001233F0"/>
    <w:rsid w:val="00126AF8"/>
    <w:rsid w:val="001307AD"/>
    <w:rsid w:val="00133519"/>
    <w:rsid w:val="001407C5"/>
    <w:rsid w:val="00146FEA"/>
    <w:rsid w:val="001529FF"/>
    <w:rsid w:val="00171BD3"/>
    <w:rsid w:val="00180797"/>
    <w:rsid w:val="00181A79"/>
    <w:rsid w:val="0019623C"/>
    <w:rsid w:val="001A3411"/>
    <w:rsid w:val="001A5D67"/>
    <w:rsid w:val="001A79DB"/>
    <w:rsid w:val="001B1A16"/>
    <w:rsid w:val="001B2173"/>
    <w:rsid w:val="001E2348"/>
    <w:rsid w:val="001F4C53"/>
    <w:rsid w:val="0020273B"/>
    <w:rsid w:val="00203469"/>
    <w:rsid w:val="0020380B"/>
    <w:rsid w:val="002079C4"/>
    <w:rsid w:val="00213D24"/>
    <w:rsid w:val="00215CC9"/>
    <w:rsid w:val="002167A6"/>
    <w:rsid w:val="002254A8"/>
    <w:rsid w:val="002261A9"/>
    <w:rsid w:val="00231B15"/>
    <w:rsid w:val="002527E4"/>
    <w:rsid w:val="002529A1"/>
    <w:rsid w:val="0026613F"/>
    <w:rsid w:val="00266D80"/>
    <w:rsid w:val="002874EA"/>
    <w:rsid w:val="00295197"/>
    <w:rsid w:val="002B3CEF"/>
    <w:rsid w:val="002C0289"/>
    <w:rsid w:val="002C0A6C"/>
    <w:rsid w:val="002D0F14"/>
    <w:rsid w:val="002D6086"/>
    <w:rsid w:val="002E4FD1"/>
    <w:rsid w:val="00300AD3"/>
    <w:rsid w:val="003025D4"/>
    <w:rsid w:val="00314EF1"/>
    <w:rsid w:val="003156A0"/>
    <w:rsid w:val="00317760"/>
    <w:rsid w:val="003217A7"/>
    <w:rsid w:val="003315AC"/>
    <w:rsid w:val="00331D96"/>
    <w:rsid w:val="00337B94"/>
    <w:rsid w:val="003520E4"/>
    <w:rsid w:val="00364D18"/>
    <w:rsid w:val="00373C18"/>
    <w:rsid w:val="0038382A"/>
    <w:rsid w:val="003A1509"/>
    <w:rsid w:val="003A1768"/>
    <w:rsid w:val="003A2415"/>
    <w:rsid w:val="003A566F"/>
    <w:rsid w:val="003A6636"/>
    <w:rsid w:val="003B50CF"/>
    <w:rsid w:val="003C1E6C"/>
    <w:rsid w:val="003C263F"/>
    <w:rsid w:val="003D7BE8"/>
    <w:rsid w:val="003F65DC"/>
    <w:rsid w:val="00401972"/>
    <w:rsid w:val="00402164"/>
    <w:rsid w:val="00404349"/>
    <w:rsid w:val="004062EA"/>
    <w:rsid w:val="0040635C"/>
    <w:rsid w:val="00415308"/>
    <w:rsid w:val="0043470F"/>
    <w:rsid w:val="004364B0"/>
    <w:rsid w:val="00436947"/>
    <w:rsid w:val="0044237F"/>
    <w:rsid w:val="0045054A"/>
    <w:rsid w:val="0046722B"/>
    <w:rsid w:val="00494D7B"/>
    <w:rsid w:val="004A1186"/>
    <w:rsid w:val="004A3979"/>
    <w:rsid w:val="004A5791"/>
    <w:rsid w:val="004C2B63"/>
    <w:rsid w:val="004D068D"/>
    <w:rsid w:val="004D18B2"/>
    <w:rsid w:val="004D6674"/>
    <w:rsid w:val="004E005D"/>
    <w:rsid w:val="004F66A2"/>
    <w:rsid w:val="00515A5E"/>
    <w:rsid w:val="00527728"/>
    <w:rsid w:val="00532E6C"/>
    <w:rsid w:val="005471CA"/>
    <w:rsid w:val="00550498"/>
    <w:rsid w:val="005773C2"/>
    <w:rsid w:val="005775ED"/>
    <w:rsid w:val="00580C50"/>
    <w:rsid w:val="00580EC7"/>
    <w:rsid w:val="005854FE"/>
    <w:rsid w:val="00591964"/>
    <w:rsid w:val="00594A7B"/>
    <w:rsid w:val="005972A3"/>
    <w:rsid w:val="005C4099"/>
    <w:rsid w:val="005C4531"/>
    <w:rsid w:val="005C51E4"/>
    <w:rsid w:val="005D5B90"/>
    <w:rsid w:val="005D78C1"/>
    <w:rsid w:val="005E6218"/>
    <w:rsid w:val="0060169C"/>
    <w:rsid w:val="006021FE"/>
    <w:rsid w:val="00603FD9"/>
    <w:rsid w:val="00604CE7"/>
    <w:rsid w:val="00614FC0"/>
    <w:rsid w:val="00616194"/>
    <w:rsid w:val="00624693"/>
    <w:rsid w:val="00624F4F"/>
    <w:rsid w:val="00631021"/>
    <w:rsid w:val="00632B4F"/>
    <w:rsid w:val="00633C6C"/>
    <w:rsid w:val="00636541"/>
    <w:rsid w:val="00640F60"/>
    <w:rsid w:val="00641004"/>
    <w:rsid w:val="00645084"/>
    <w:rsid w:val="00657AB5"/>
    <w:rsid w:val="00672CE1"/>
    <w:rsid w:val="00677012"/>
    <w:rsid w:val="00691464"/>
    <w:rsid w:val="00693385"/>
    <w:rsid w:val="006A1B1B"/>
    <w:rsid w:val="006C00ED"/>
    <w:rsid w:val="006C0835"/>
    <w:rsid w:val="006C4C1E"/>
    <w:rsid w:val="006D6CD6"/>
    <w:rsid w:val="006E0C3C"/>
    <w:rsid w:val="006E18C4"/>
    <w:rsid w:val="006E2A3F"/>
    <w:rsid w:val="006F5D24"/>
    <w:rsid w:val="00710027"/>
    <w:rsid w:val="00711714"/>
    <w:rsid w:val="007146E6"/>
    <w:rsid w:val="00715447"/>
    <w:rsid w:val="00716298"/>
    <w:rsid w:val="007176D3"/>
    <w:rsid w:val="0072001E"/>
    <w:rsid w:val="00725C80"/>
    <w:rsid w:val="00746E58"/>
    <w:rsid w:val="00753243"/>
    <w:rsid w:val="007549DA"/>
    <w:rsid w:val="00770379"/>
    <w:rsid w:val="00770488"/>
    <w:rsid w:val="00772E20"/>
    <w:rsid w:val="00774A5D"/>
    <w:rsid w:val="00782410"/>
    <w:rsid w:val="007A026D"/>
    <w:rsid w:val="007A7219"/>
    <w:rsid w:val="007B154D"/>
    <w:rsid w:val="007D2025"/>
    <w:rsid w:val="007D4D11"/>
    <w:rsid w:val="007E4D84"/>
    <w:rsid w:val="007F38AB"/>
    <w:rsid w:val="007F522B"/>
    <w:rsid w:val="007F7FC4"/>
    <w:rsid w:val="00802A8B"/>
    <w:rsid w:val="00820EE9"/>
    <w:rsid w:val="00831D8E"/>
    <w:rsid w:val="008329F7"/>
    <w:rsid w:val="0083530D"/>
    <w:rsid w:val="00836715"/>
    <w:rsid w:val="00842D34"/>
    <w:rsid w:val="00843108"/>
    <w:rsid w:val="00845737"/>
    <w:rsid w:val="00846EE1"/>
    <w:rsid w:val="00850038"/>
    <w:rsid w:val="00850B58"/>
    <w:rsid w:val="00864351"/>
    <w:rsid w:val="00871821"/>
    <w:rsid w:val="008863B7"/>
    <w:rsid w:val="008A034A"/>
    <w:rsid w:val="008C27FA"/>
    <w:rsid w:val="008D2A08"/>
    <w:rsid w:val="008D35D1"/>
    <w:rsid w:val="008E3509"/>
    <w:rsid w:val="008E4A0C"/>
    <w:rsid w:val="008E58DB"/>
    <w:rsid w:val="008F0DCB"/>
    <w:rsid w:val="008F5B54"/>
    <w:rsid w:val="008F751E"/>
    <w:rsid w:val="0090682C"/>
    <w:rsid w:val="009124F3"/>
    <w:rsid w:val="009240DA"/>
    <w:rsid w:val="00924A1C"/>
    <w:rsid w:val="00931F4E"/>
    <w:rsid w:val="00933873"/>
    <w:rsid w:val="00953B95"/>
    <w:rsid w:val="00954E0B"/>
    <w:rsid w:val="00964302"/>
    <w:rsid w:val="00965A29"/>
    <w:rsid w:val="00981D7C"/>
    <w:rsid w:val="009901DA"/>
    <w:rsid w:val="009916C6"/>
    <w:rsid w:val="009A1C73"/>
    <w:rsid w:val="009A31CF"/>
    <w:rsid w:val="009A6078"/>
    <w:rsid w:val="009A6412"/>
    <w:rsid w:val="009B1BAE"/>
    <w:rsid w:val="009C110C"/>
    <w:rsid w:val="009D2C1B"/>
    <w:rsid w:val="009D7886"/>
    <w:rsid w:val="009E665C"/>
    <w:rsid w:val="009F4DB7"/>
    <w:rsid w:val="00A0760E"/>
    <w:rsid w:val="00A20FEE"/>
    <w:rsid w:val="00A24A21"/>
    <w:rsid w:val="00A45E36"/>
    <w:rsid w:val="00A56646"/>
    <w:rsid w:val="00A56B62"/>
    <w:rsid w:val="00A619AF"/>
    <w:rsid w:val="00A6724C"/>
    <w:rsid w:val="00A860CE"/>
    <w:rsid w:val="00A90483"/>
    <w:rsid w:val="00A905F6"/>
    <w:rsid w:val="00A9218A"/>
    <w:rsid w:val="00A92E2B"/>
    <w:rsid w:val="00AA46FA"/>
    <w:rsid w:val="00AA5038"/>
    <w:rsid w:val="00AB4388"/>
    <w:rsid w:val="00AD07D1"/>
    <w:rsid w:val="00AD4748"/>
    <w:rsid w:val="00AD4BAF"/>
    <w:rsid w:val="00AD51F8"/>
    <w:rsid w:val="00AE12DF"/>
    <w:rsid w:val="00AE167C"/>
    <w:rsid w:val="00AF6775"/>
    <w:rsid w:val="00B12FA7"/>
    <w:rsid w:val="00B1566B"/>
    <w:rsid w:val="00B22F91"/>
    <w:rsid w:val="00B307D4"/>
    <w:rsid w:val="00B41434"/>
    <w:rsid w:val="00B45A46"/>
    <w:rsid w:val="00B45C9D"/>
    <w:rsid w:val="00B57BA4"/>
    <w:rsid w:val="00B706A6"/>
    <w:rsid w:val="00B71A0F"/>
    <w:rsid w:val="00B74175"/>
    <w:rsid w:val="00B744BB"/>
    <w:rsid w:val="00B83FBB"/>
    <w:rsid w:val="00B8682C"/>
    <w:rsid w:val="00BA1280"/>
    <w:rsid w:val="00BB08D8"/>
    <w:rsid w:val="00BC1871"/>
    <w:rsid w:val="00BD65F9"/>
    <w:rsid w:val="00BE0FEC"/>
    <w:rsid w:val="00BE28A4"/>
    <w:rsid w:val="00BF3E8C"/>
    <w:rsid w:val="00BF511A"/>
    <w:rsid w:val="00C00A85"/>
    <w:rsid w:val="00C0234D"/>
    <w:rsid w:val="00C12D01"/>
    <w:rsid w:val="00C13F07"/>
    <w:rsid w:val="00C301AF"/>
    <w:rsid w:val="00C32FE9"/>
    <w:rsid w:val="00C402E8"/>
    <w:rsid w:val="00C42338"/>
    <w:rsid w:val="00C569D7"/>
    <w:rsid w:val="00C6360D"/>
    <w:rsid w:val="00C64EA0"/>
    <w:rsid w:val="00C67863"/>
    <w:rsid w:val="00C70046"/>
    <w:rsid w:val="00C95F55"/>
    <w:rsid w:val="00CB4F0F"/>
    <w:rsid w:val="00CB66EE"/>
    <w:rsid w:val="00CC164C"/>
    <w:rsid w:val="00CD26F4"/>
    <w:rsid w:val="00CD55D1"/>
    <w:rsid w:val="00CE7999"/>
    <w:rsid w:val="00CF2CC8"/>
    <w:rsid w:val="00D11A17"/>
    <w:rsid w:val="00D139EA"/>
    <w:rsid w:val="00D2070B"/>
    <w:rsid w:val="00D20FD1"/>
    <w:rsid w:val="00D21780"/>
    <w:rsid w:val="00D26129"/>
    <w:rsid w:val="00D37B4F"/>
    <w:rsid w:val="00D42613"/>
    <w:rsid w:val="00D43023"/>
    <w:rsid w:val="00D46089"/>
    <w:rsid w:val="00D63039"/>
    <w:rsid w:val="00D636C2"/>
    <w:rsid w:val="00D730D2"/>
    <w:rsid w:val="00D81C62"/>
    <w:rsid w:val="00D9170F"/>
    <w:rsid w:val="00D921EF"/>
    <w:rsid w:val="00DC151D"/>
    <w:rsid w:val="00DC78E0"/>
    <w:rsid w:val="00DD1658"/>
    <w:rsid w:val="00DD1B7E"/>
    <w:rsid w:val="00DD28E3"/>
    <w:rsid w:val="00DD45CC"/>
    <w:rsid w:val="00DD6E54"/>
    <w:rsid w:val="00DE2FC6"/>
    <w:rsid w:val="00DE3E77"/>
    <w:rsid w:val="00DE679A"/>
    <w:rsid w:val="00DF51D2"/>
    <w:rsid w:val="00E120F6"/>
    <w:rsid w:val="00E15F74"/>
    <w:rsid w:val="00E22225"/>
    <w:rsid w:val="00E22328"/>
    <w:rsid w:val="00E2327D"/>
    <w:rsid w:val="00E24BD5"/>
    <w:rsid w:val="00E27E11"/>
    <w:rsid w:val="00E41CF2"/>
    <w:rsid w:val="00E50205"/>
    <w:rsid w:val="00E56D45"/>
    <w:rsid w:val="00E56F31"/>
    <w:rsid w:val="00E603DC"/>
    <w:rsid w:val="00E60F1A"/>
    <w:rsid w:val="00E73E2B"/>
    <w:rsid w:val="00E7477A"/>
    <w:rsid w:val="00E75343"/>
    <w:rsid w:val="00E81151"/>
    <w:rsid w:val="00E87E50"/>
    <w:rsid w:val="00E9417E"/>
    <w:rsid w:val="00EA3B6A"/>
    <w:rsid w:val="00EB14CF"/>
    <w:rsid w:val="00EB2011"/>
    <w:rsid w:val="00EB207C"/>
    <w:rsid w:val="00EB73DB"/>
    <w:rsid w:val="00EC7D61"/>
    <w:rsid w:val="00ED6C34"/>
    <w:rsid w:val="00ED7D53"/>
    <w:rsid w:val="00EE3E68"/>
    <w:rsid w:val="00EF0A92"/>
    <w:rsid w:val="00F059C8"/>
    <w:rsid w:val="00F072D8"/>
    <w:rsid w:val="00F13E15"/>
    <w:rsid w:val="00F30173"/>
    <w:rsid w:val="00F301E1"/>
    <w:rsid w:val="00F31280"/>
    <w:rsid w:val="00F33735"/>
    <w:rsid w:val="00F4288A"/>
    <w:rsid w:val="00F46176"/>
    <w:rsid w:val="00F46372"/>
    <w:rsid w:val="00F61369"/>
    <w:rsid w:val="00F62D6D"/>
    <w:rsid w:val="00F63A8D"/>
    <w:rsid w:val="00F90B61"/>
    <w:rsid w:val="00F97068"/>
    <w:rsid w:val="00FA0A6B"/>
    <w:rsid w:val="00FB4058"/>
    <w:rsid w:val="00FB5261"/>
    <w:rsid w:val="00FB5636"/>
    <w:rsid w:val="00FB77FE"/>
    <w:rsid w:val="00FD0C07"/>
    <w:rsid w:val="00FE1B59"/>
    <w:rsid w:val="00FE4CD5"/>
    <w:rsid w:val="00FE5332"/>
    <w:rsid w:val="00FF1B22"/>
    <w:rsid w:val="00FF47EC"/>
    <w:rsid w:val="00FF7177"/>
    <w:rsid w:val="01B23661"/>
    <w:rsid w:val="029269C4"/>
    <w:rsid w:val="068E458D"/>
    <w:rsid w:val="07524586"/>
    <w:rsid w:val="0C4EBBD0"/>
    <w:rsid w:val="0FEE6C4C"/>
    <w:rsid w:val="101A2087"/>
    <w:rsid w:val="1143A452"/>
    <w:rsid w:val="1203909F"/>
    <w:rsid w:val="14C3325F"/>
    <w:rsid w:val="183A17E4"/>
    <w:rsid w:val="18FD72C6"/>
    <w:rsid w:val="1A6EC6CC"/>
    <w:rsid w:val="269B0DE2"/>
    <w:rsid w:val="27DC168D"/>
    <w:rsid w:val="27FEEC8F"/>
    <w:rsid w:val="2BF55E29"/>
    <w:rsid w:val="2CDB02FC"/>
    <w:rsid w:val="2DBDEF95"/>
    <w:rsid w:val="321CECA2"/>
    <w:rsid w:val="345EED63"/>
    <w:rsid w:val="355A3473"/>
    <w:rsid w:val="39E3F683"/>
    <w:rsid w:val="39F8023A"/>
    <w:rsid w:val="3B1D2F00"/>
    <w:rsid w:val="3B6B6F15"/>
    <w:rsid w:val="3D1A8923"/>
    <w:rsid w:val="3E314FC0"/>
    <w:rsid w:val="3F4663CE"/>
    <w:rsid w:val="40D84B74"/>
    <w:rsid w:val="42147CE4"/>
    <w:rsid w:val="44C88A57"/>
    <w:rsid w:val="4506D48C"/>
    <w:rsid w:val="45C33977"/>
    <w:rsid w:val="46F8EEAA"/>
    <w:rsid w:val="48D952E8"/>
    <w:rsid w:val="4EFC2336"/>
    <w:rsid w:val="4F1756BC"/>
    <w:rsid w:val="4F70D7B3"/>
    <w:rsid w:val="51BD25F0"/>
    <w:rsid w:val="53FB32F2"/>
    <w:rsid w:val="54BE3189"/>
    <w:rsid w:val="55E02346"/>
    <w:rsid w:val="56620FA6"/>
    <w:rsid w:val="569E196F"/>
    <w:rsid w:val="591A0D95"/>
    <w:rsid w:val="5E8C5B00"/>
    <w:rsid w:val="5EB209DE"/>
    <w:rsid w:val="611FDF6C"/>
    <w:rsid w:val="65A235AB"/>
    <w:rsid w:val="65E1F708"/>
    <w:rsid w:val="6672EAAB"/>
    <w:rsid w:val="67BF8185"/>
    <w:rsid w:val="6973C42D"/>
    <w:rsid w:val="69CB1AC7"/>
    <w:rsid w:val="6BCD1826"/>
    <w:rsid w:val="6D041018"/>
    <w:rsid w:val="6D491CD6"/>
    <w:rsid w:val="6E97B2AA"/>
    <w:rsid w:val="75868520"/>
    <w:rsid w:val="7668A180"/>
    <w:rsid w:val="776D3128"/>
    <w:rsid w:val="7A48C110"/>
    <w:rsid w:val="7BDB381E"/>
    <w:rsid w:val="7DE2A5E9"/>
    <w:rsid w:val="7F625C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69E0CB5"/>
  <w15:chartTrackingRefBased/>
  <w15:docId w15:val="{64F95BEB-EFDB-4AE3-8010-65D2EFDCB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26613F"/>
    <w:rPr>
      <w:color w:val="0000FF"/>
      <w:shd w:val="clear" w:color="auto" w:fill="auto"/>
    </w:rPr>
  </w:style>
  <w:style w:type="paragraph" w:customStyle="1" w:styleId="Pagedecouverture">
    <w:name w:val="Page de couverture"/>
    <w:basedOn w:val="Normal"/>
    <w:next w:val="Normal"/>
    <w:rsid w:val="0026613F"/>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rsid w:val="002661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613F"/>
  </w:style>
  <w:style w:type="paragraph" w:styleId="Footer">
    <w:name w:val="footer"/>
    <w:basedOn w:val="Normal"/>
    <w:link w:val="FooterChar"/>
    <w:uiPriority w:val="99"/>
    <w:unhideWhenUsed/>
    <w:rsid w:val="002661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613F"/>
  </w:style>
  <w:style w:type="paragraph" w:customStyle="1" w:styleId="FooterCoverPage">
    <w:name w:val="Footer Cover Page"/>
    <w:basedOn w:val="Normal"/>
    <w:link w:val="FooterCoverPageChar"/>
    <w:rsid w:val="0026613F"/>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26613F"/>
    <w:rPr>
      <w:rFonts w:ascii="Times New Roman" w:hAnsi="Times New Roman" w:cs="Times New Roman"/>
      <w:sz w:val="24"/>
    </w:rPr>
  </w:style>
  <w:style w:type="paragraph" w:customStyle="1" w:styleId="FooterSensitivity">
    <w:name w:val="Footer Sensitivity"/>
    <w:basedOn w:val="Normal"/>
    <w:link w:val="FooterSensitivityChar"/>
    <w:rsid w:val="0026613F"/>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26613F"/>
    <w:rPr>
      <w:rFonts w:ascii="Times New Roman" w:hAnsi="Times New Roman" w:cs="Times New Roman"/>
      <w:b/>
      <w:sz w:val="32"/>
    </w:rPr>
  </w:style>
  <w:style w:type="paragraph" w:customStyle="1" w:styleId="HeaderCoverPage">
    <w:name w:val="Header Cover Page"/>
    <w:basedOn w:val="Normal"/>
    <w:link w:val="HeaderCoverPageChar"/>
    <w:rsid w:val="0026613F"/>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26613F"/>
    <w:rPr>
      <w:rFonts w:ascii="Times New Roman" w:hAnsi="Times New Roman" w:cs="Times New Roman"/>
      <w:sz w:val="24"/>
    </w:rPr>
  </w:style>
  <w:style w:type="paragraph" w:customStyle="1" w:styleId="HeaderSensitivity">
    <w:name w:val="Header Sensitivity"/>
    <w:basedOn w:val="Normal"/>
    <w:link w:val="HeaderSensitivityChar"/>
    <w:rsid w:val="0026613F"/>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26613F"/>
    <w:rPr>
      <w:rFonts w:ascii="Times New Roman" w:hAnsi="Times New Roman" w:cs="Times New Roman"/>
      <w:b/>
      <w:sz w:val="32"/>
    </w:rPr>
  </w:style>
  <w:style w:type="paragraph" w:customStyle="1" w:styleId="HeaderSensitivityRight">
    <w:name w:val="Header Sensitivity Right"/>
    <w:basedOn w:val="Normal"/>
    <w:link w:val="HeaderSensitivityRightChar"/>
    <w:rsid w:val="0026613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26613F"/>
    <w:rPr>
      <w:rFonts w:ascii="Times New Roman" w:hAnsi="Times New Roman" w:cs="Times New Roman"/>
      <w:sz w:val="28"/>
    </w:rPr>
  </w:style>
  <w:style w:type="character" w:styleId="Hyperlink">
    <w:name w:val="Hyperlink"/>
    <w:basedOn w:val="DefaultParagraphFont"/>
    <w:uiPriority w:val="99"/>
    <w:unhideWhenUsed/>
    <w:rsid w:val="003520E4"/>
    <w:rPr>
      <w:color w:val="0000FF" w:themeColor="hyperlink"/>
      <w:u w:val="single"/>
    </w:rPr>
  </w:style>
  <w:style w:type="character" w:customStyle="1" w:styleId="UnresolvedMention">
    <w:name w:val="Unresolved Mention"/>
    <w:basedOn w:val="DefaultParagraphFont"/>
    <w:uiPriority w:val="99"/>
    <w:semiHidden/>
    <w:unhideWhenUsed/>
    <w:rsid w:val="003520E4"/>
    <w:rPr>
      <w:color w:val="605E5C"/>
      <w:shd w:val="clear" w:color="auto" w:fill="E1DFDD"/>
    </w:rPr>
  </w:style>
  <w:style w:type="paragraph" w:styleId="Revision">
    <w:name w:val="Revision"/>
    <w:hidden/>
    <w:uiPriority w:val="99"/>
    <w:semiHidden/>
    <w:rsid w:val="0060169C"/>
    <w:pPr>
      <w:spacing w:after="0" w:line="240" w:lineRule="auto"/>
    </w:pPr>
  </w:style>
  <w:style w:type="character" w:styleId="CommentReference">
    <w:name w:val="annotation reference"/>
    <w:basedOn w:val="DefaultParagraphFont"/>
    <w:uiPriority w:val="99"/>
    <w:semiHidden/>
    <w:unhideWhenUsed/>
    <w:rsid w:val="00715447"/>
    <w:rPr>
      <w:sz w:val="16"/>
      <w:szCs w:val="16"/>
    </w:rPr>
  </w:style>
  <w:style w:type="paragraph" w:styleId="CommentText">
    <w:name w:val="annotation text"/>
    <w:basedOn w:val="Normal"/>
    <w:link w:val="CommentTextChar"/>
    <w:uiPriority w:val="99"/>
    <w:unhideWhenUsed/>
    <w:rsid w:val="00715447"/>
    <w:pPr>
      <w:spacing w:line="240" w:lineRule="auto"/>
    </w:pPr>
    <w:rPr>
      <w:sz w:val="20"/>
      <w:szCs w:val="20"/>
    </w:rPr>
  </w:style>
  <w:style w:type="character" w:customStyle="1" w:styleId="CommentTextChar">
    <w:name w:val="Comment Text Char"/>
    <w:basedOn w:val="DefaultParagraphFont"/>
    <w:link w:val="CommentText"/>
    <w:uiPriority w:val="99"/>
    <w:rsid w:val="00715447"/>
    <w:rPr>
      <w:sz w:val="20"/>
      <w:szCs w:val="20"/>
    </w:rPr>
  </w:style>
  <w:style w:type="paragraph" w:styleId="CommentSubject">
    <w:name w:val="annotation subject"/>
    <w:basedOn w:val="CommentText"/>
    <w:next w:val="CommentText"/>
    <w:link w:val="CommentSubjectChar"/>
    <w:uiPriority w:val="99"/>
    <w:semiHidden/>
    <w:unhideWhenUsed/>
    <w:rsid w:val="00715447"/>
    <w:rPr>
      <w:b/>
      <w:bCs/>
    </w:rPr>
  </w:style>
  <w:style w:type="character" w:customStyle="1" w:styleId="CommentSubjectChar">
    <w:name w:val="Comment Subject Char"/>
    <w:basedOn w:val="CommentTextChar"/>
    <w:link w:val="CommentSubject"/>
    <w:uiPriority w:val="99"/>
    <w:semiHidden/>
    <w:rsid w:val="0071544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736237">
      <w:bodyDiv w:val="1"/>
      <w:marLeft w:val="0"/>
      <w:marRight w:val="0"/>
      <w:marTop w:val="0"/>
      <w:marBottom w:val="0"/>
      <w:divBdr>
        <w:top w:val="none" w:sz="0" w:space="0" w:color="auto"/>
        <w:left w:val="none" w:sz="0" w:space="0" w:color="auto"/>
        <w:bottom w:val="none" w:sz="0" w:space="0" w:color="auto"/>
        <w:right w:val="none" w:sz="0" w:space="0" w:color="auto"/>
      </w:divBdr>
    </w:div>
    <w:div w:id="105732766">
      <w:bodyDiv w:val="1"/>
      <w:marLeft w:val="0"/>
      <w:marRight w:val="0"/>
      <w:marTop w:val="0"/>
      <w:marBottom w:val="0"/>
      <w:divBdr>
        <w:top w:val="none" w:sz="0" w:space="0" w:color="auto"/>
        <w:left w:val="none" w:sz="0" w:space="0" w:color="auto"/>
        <w:bottom w:val="none" w:sz="0" w:space="0" w:color="auto"/>
        <w:right w:val="none" w:sz="0" w:space="0" w:color="auto"/>
      </w:divBdr>
    </w:div>
    <w:div w:id="768935347">
      <w:bodyDiv w:val="1"/>
      <w:marLeft w:val="0"/>
      <w:marRight w:val="0"/>
      <w:marTop w:val="0"/>
      <w:marBottom w:val="0"/>
      <w:divBdr>
        <w:top w:val="none" w:sz="0" w:space="0" w:color="auto"/>
        <w:left w:val="none" w:sz="0" w:space="0" w:color="auto"/>
        <w:bottom w:val="none" w:sz="0" w:space="0" w:color="auto"/>
        <w:right w:val="none" w:sz="0" w:space="0" w:color="auto"/>
      </w:divBdr>
    </w:div>
    <w:div w:id="791632123">
      <w:bodyDiv w:val="1"/>
      <w:marLeft w:val="0"/>
      <w:marRight w:val="0"/>
      <w:marTop w:val="0"/>
      <w:marBottom w:val="0"/>
      <w:divBdr>
        <w:top w:val="none" w:sz="0" w:space="0" w:color="auto"/>
        <w:left w:val="none" w:sz="0" w:space="0" w:color="auto"/>
        <w:bottom w:val="none" w:sz="0" w:space="0" w:color="auto"/>
        <w:right w:val="none" w:sz="0" w:space="0" w:color="auto"/>
      </w:divBdr>
    </w:div>
    <w:div w:id="805002132">
      <w:bodyDiv w:val="1"/>
      <w:marLeft w:val="0"/>
      <w:marRight w:val="0"/>
      <w:marTop w:val="0"/>
      <w:marBottom w:val="0"/>
      <w:divBdr>
        <w:top w:val="none" w:sz="0" w:space="0" w:color="auto"/>
        <w:left w:val="none" w:sz="0" w:space="0" w:color="auto"/>
        <w:bottom w:val="none" w:sz="0" w:space="0" w:color="auto"/>
        <w:right w:val="none" w:sz="0" w:space="0" w:color="auto"/>
      </w:divBdr>
    </w:div>
    <w:div w:id="873812699">
      <w:bodyDiv w:val="1"/>
      <w:marLeft w:val="0"/>
      <w:marRight w:val="0"/>
      <w:marTop w:val="0"/>
      <w:marBottom w:val="0"/>
      <w:divBdr>
        <w:top w:val="none" w:sz="0" w:space="0" w:color="auto"/>
        <w:left w:val="none" w:sz="0" w:space="0" w:color="auto"/>
        <w:bottom w:val="none" w:sz="0" w:space="0" w:color="auto"/>
        <w:right w:val="none" w:sz="0" w:space="0" w:color="auto"/>
      </w:divBdr>
    </w:div>
    <w:div w:id="1014459214">
      <w:bodyDiv w:val="1"/>
      <w:marLeft w:val="0"/>
      <w:marRight w:val="0"/>
      <w:marTop w:val="0"/>
      <w:marBottom w:val="0"/>
      <w:divBdr>
        <w:top w:val="none" w:sz="0" w:space="0" w:color="auto"/>
        <w:left w:val="none" w:sz="0" w:space="0" w:color="auto"/>
        <w:bottom w:val="none" w:sz="0" w:space="0" w:color="auto"/>
        <w:right w:val="none" w:sz="0" w:space="0" w:color="auto"/>
      </w:divBdr>
    </w:div>
    <w:div w:id="1142693137">
      <w:bodyDiv w:val="1"/>
      <w:marLeft w:val="0"/>
      <w:marRight w:val="0"/>
      <w:marTop w:val="0"/>
      <w:marBottom w:val="0"/>
      <w:divBdr>
        <w:top w:val="none" w:sz="0" w:space="0" w:color="auto"/>
        <w:left w:val="none" w:sz="0" w:space="0" w:color="auto"/>
        <w:bottom w:val="none" w:sz="0" w:space="0" w:color="auto"/>
        <w:right w:val="none" w:sz="0" w:space="0" w:color="auto"/>
      </w:divBdr>
    </w:div>
    <w:div w:id="1269923424">
      <w:bodyDiv w:val="1"/>
      <w:marLeft w:val="0"/>
      <w:marRight w:val="0"/>
      <w:marTop w:val="0"/>
      <w:marBottom w:val="0"/>
      <w:divBdr>
        <w:top w:val="none" w:sz="0" w:space="0" w:color="auto"/>
        <w:left w:val="none" w:sz="0" w:space="0" w:color="auto"/>
        <w:bottom w:val="none" w:sz="0" w:space="0" w:color="auto"/>
        <w:right w:val="none" w:sz="0" w:space="0" w:color="auto"/>
      </w:divBdr>
    </w:div>
    <w:div w:id="1316686844">
      <w:bodyDiv w:val="1"/>
      <w:marLeft w:val="0"/>
      <w:marRight w:val="0"/>
      <w:marTop w:val="0"/>
      <w:marBottom w:val="0"/>
      <w:divBdr>
        <w:top w:val="none" w:sz="0" w:space="0" w:color="auto"/>
        <w:left w:val="none" w:sz="0" w:space="0" w:color="auto"/>
        <w:bottom w:val="none" w:sz="0" w:space="0" w:color="auto"/>
        <w:right w:val="none" w:sz="0" w:space="0" w:color="auto"/>
      </w:divBdr>
    </w:div>
    <w:div w:id="1574192645">
      <w:bodyDiv w:val="1"/>
      <w:marLeft w:val="0"/>
      <w:marRight w:val="0"/>
      <w:marTop w:val="0"/>
      <w:marBottom w:val="0"/>
      <w:divBdr>
        <w:top w:val="none" w:sz="0" w:space="0" w:color="auto"/>
        <w:left w:val="none" w:sz="0" w:space="0" w:color="auto"/>
        <w:bottom w:val="none" w:sz="0" w:space="0" w:color="auto"/>
        <w:right w:val="none" w:sz="0" w:space="0" w:color="auto"/>
      </w:divBdr>
    </w:div>
    <w:div w:id="1583180615">
      <w:bodyDiv w:val="1"/>
      <w:marLeft w:val="0"/>
      <w:marRight w:val="0"/>
      <w:marTop w:val="0"/>
      <w:marBottom w:val="0"/>
      <w:divBdr>
        <w:top w:val="none" w:sz="0" w:space="0" w:color="auto"/>
        <w:left w:val="none" w:sz="0" w:space="0" w:color="auto"/>
        <w:bottom w:val="none" w:sz="0" w:space="0" w:color="auto"/>
        <w:right w:val="none" w:sz="0" w:space="0" w:color="auto"/>
      </w:divBdr>
    </w:div>
    <w:div w:id="1624581217">
      <w:bodyDiv w:val="1"/>
      <w:marLeft w:val="0"/>
      <w:marRight w:val="0"/>
      <w:marTop w:val="0"/>
      <w:marBottom w:val="0"/>
      <w:divBdr>
        <w:top w:val="none" w:sz="0" w:space="0" w:color="auto"/>
        <w:left w:val="none" w:sz="0" w:space="0" w:color="auto"/>
        <w:bottom w:val="none" w:sz="0" w:space="0" w:color="auto"/>
        <w:right w:val="none" w:sz="0" w:space="0" w:color="auto"/>
      </w:divBdr>
    </w:div>
    <w:div w:id="1813520864">
      <w:bodyDiv w:val="1"/>
      <w:marLeft w:val="0"/>
      <w:marRight w:val="0"/>
      <w:marTop w:val="0"/>
      <w:marBottom w:val="0"/>
      <w:divBdr>
        <w:top w:val="none" w:sz="0" w:space="0" w:color="auto"/>
        <w:left w:val="none" w:sz="0" w:space="0" w:color="auto"/>
        <w:bottom w:val="none" w:sz="0" w:space="0" w:color="auto"/>
        <w:right w:val="none" w:sz="0" w:space="0" w:color="auto"/>
      </w:divBdr>
    </w:div>
    <w:div w:id="1817407893">
      <w:bodyDiv w:val="1"/>
      <w:marLeft w:val="0"/>
      <w:marRight w:val="0"/>
      <w:marTop w:val="0"/>
      <w:marBottom w:val="0"/>
      <w:divBdr>
        <w:top w:val="none" w:sz="0" w:space="0" w:color="auto"/>
        <w:left w:val="none" w:sz="0" w:space="0" w:color="auto"/>
        <w:bottom w:val="none" w:sz="0" w:space="0" w:color="auto"/>
        <w:right w:val="none" w:sz="0" w:space="0" w:color="auto"/>
      </w:divBdr>
    </w:div>
    <w:div w:id="2032102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A51534F60A5B448B6E4B19C6951FA3E" ma:contentTypeVersion="4" ma:contentTypeDescription="Create a new document." ma:contentTypeScope="" ma:versionID="f43f232a58218a375219e47803cac635">
  <xsd:schema xmlns:xsd="http://www.w3.org/2001/XMLSchema" xmlns:xs="http://www.w3.org/2001/XMLSchema" xmlns:p="http://schemas.microsoft.com/office/2006/metadata/properties" xmlns:ns2="9150c696-8d86-4c7a-9a74-12a0a9ada379" targetNamespace="http://schemas.microsoft.com/office/2006/metadata/properties" ma:root="true" ma:fieldsID="345a1cc19c1188813b19f3194b7a826f" ns2:_="">
    <xsd:import namespace="9150c696-8d86-4c7a-9a74-12a0a9ada3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50c696-8d86-4c7a-9a74-12a0a9ada3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3EC7C-3FB7-4E9F-9E1E-8FE2D93B982F}">
  <ds:schemaRefs>
    <ds:schemaRef ds:uri="http://schemas.microsoft.com/sharepoint/v3/contenttype/forms"/>
  </ds:schemaRefs>
</ds:datastoreItem>
</file>

<file path=customXml/itemProps2.xml><?xml version="1.0" encoding="utf-8"?>
<ds:datastoreItem xmlns:ds="http://schemas.openxmlformats.org/officeDocument/2006/customXml" ds:itemID="{70F0BE0D-2EB8-42A4-816C-E4D597C7714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7CF16F8-0A44-4040-AC83-D044264A1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50c696-8d86-4c7a-9a74-12a0a9ada3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5C0DE3C-9249-4BED-8448-D37924CF6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5</Pages>
  <Words>1557</Words>
  <Characters>8875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57</cp:revision>
  <dcterms:created xsi:type="dcterms:W3CDTF">2026-04-29T23:08:00Z</dcterms:created>
  <dcterms:modified xsi:type="dcterms:W3CDTF">2026-07-16T08:43:00Z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CP-027</vt:lpwstr>
  </property>
  <property fmtid="{D5CDD505-2E9C-101B-9397-08002B2CF9AE}" pid="7" name="Last edited using">
    <vt:lpwstr>LW 9.2, Build 20250828</vt:lpwstr>
  </property>
  <property fmtid="{D5CDD505-2E9C-101B-9397-08002B2CF9AE}" pid="8" name="Created using">
    <vt:lpwstr>LW 7.0.1, Build 20190916</vt:lpwstr>
  </property>
  <property fmtid="{D5CDD505-2E9C-101B-9397-08002B2CF9AE}" pid="9" name="MSIP_Label_6bd9ddd1-4d20-43f6-abfa-fc3c07406f94_Enabled">
    <vt:lpwstr>true</vt:lpwstr>
  </property>
  <property fmtid="{D5CDD505-2E9C-101B-9397-08002B2CF9AE}" pid="10" name="MSIP_Label_6bd9ddd1-4d20-43f6-abfa-fc3c07406f94_SetDate">
    <vt:lpwstr>2023-11-30T13:43:40Z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73c6ecd3-260f-4603-83cc-3393ad4b8590</vt:lpwstr>
  </property>
  <property fmtid="{D5CDD505-2E9C-101B-9397-08002B2CF9AE}" pid="15" name="MSIP_Label_6bd9ddd1-4d20-43f6-abfa-fc3c07406f94_ContentBits">
    <vt:lpwstr>0</vt:lpwstr>
  </property>
  <property fmtid="{D5CDD505-2E9C-101B-9397-08002B2CF9AE}" pid="16" name="ContentTypeId">
    <vt:lpwstr>0x0101009A51534F60A5B448B6E4B19C6951FA3E</vt:lpwstr>
  </property>
  <property fmtid="{D5CDD505-2E9C-101B-9397-08002B2CF9AE}" pid="17" name="TaxKeyword">
    <vt:lpwstr/>
  </property>
  <property fmtid="{D5CDD505-2E9C-101B-9397-08002B2CF9AE}" pid="18" name="MediaServiceImageTags">
    <vt:lpwstr/>
  </property>
  <property fmtid="{D5CDD505-2E9C-101B-9397-08002B2CF9AE}" pid="19" name="Responsible unit ">
    <vt:lpwstr>151;#SG.C.2|c917e1f5-7912-4eb9-962c-e792a6657685</vt:lpwstr>
  </property>
  <property fmtid="{D5CDD505-2E9C-101B-9397-08002B2CF9AE}" pid="20" name="Responsible unit">
    <vt:lpwstr>65;#SG.A.2|3cb8bfc5-e669-4eb4-a8d3-5922786e2056</vt:lpwstr>
  </property>
  <property fmtid="{D5CDD505-2E9C-101B-9397-08002B2CF9AE}" pid="21" name="Responsible_x0020_unit_x0020_">
    <vt:lpwstr>151;#SG.C.2|c917e1f5-7912-4eb9-962c-e792a6657685</vt:lpwstr>
  </property>
</Properties>
</file>